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37D0" w14:textId="082FC303" w:rsidR="008D6F16" w:rsidRPr="00CF206D" w:rsidRDefault="008D6F16" w:rsidP="008D6F16">
      <w:pPr>
        <w:pBdr>
          <w:top w:val="single" w:sz="4" w:space="1" w:color="auto"/>
          <w:left w:val="single" w:sz="4" w:space="4" w:color="auto"/>
          <w:bottom w:val="single" w:sz="4" w:space="1" w:color="auto"/>
          <w:right w:val="single" w:sz="4" w:space="4" w:color="auto"/>
        </w:pBdr>
        <w:rPr>
          <w:rFonts w:ascii="Rockwell Extra Bold" w:hAnsi="Rockwell Extra Bold" w:cs="Arial"/>
          <w:b/>
          <w:color w:val="FF0000"/>
          <w:sz w:val="48"/>
          <w:szCs w:val="48"/>
        </w:rPr>
      </w:pPr>
      <w:r>
        <w:rPr>
          <w:noProof/>
        </w:rPr>
        <w:pict w14:anchorId="18D6D370">
          <v:shapetype id="_x0000_t202" coordsize="21600,21600" o:spt="202" path="m,l,21600r21600,l21600,xe">
            <v:stroke joinstyle="miter"/>
            <v:path gradientshapeok="t" o:connecttype="rect"/>
          </v:shapetype>
          <v:shape id="Text Box 2" o:spid="_x0000_s1026" type="#_x0000_t202" style="position:absolute;margin-left:174.3pt;margin-top:1.65pt;width:5in;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">
            <v:textbox>
              <w:txbxContent>
                <w:p w14:paraId="5C421853" w14:textId="77777777" w:rsidR="008D6F16" w:rsidRDefault="008D6F16" w:rsidP="008D6F16">
                  <w:pPr>
                    <w:pBdr>
                      <w:top w:val="single" w:sz="4" w:space="1" w:color="auto"/>
                      <w:left w:val="single" w:sz="4" w:space="4" w:color="auto"/>
                      <w:bottom w:val="single" w:sz="4" w:space="1" w:color="auto"/>
                      <w:right w:val="single" w:sz="4" w:space="4" w:color="auto"/>
                    </w:pBdr>
                    <w:ind w:left="360"/>
                    <w:jc w:val="center"/>
                    <w:rPr>
                      <w:rFonts w:ascii="Rockwell Extra Bold" w:hAnsi="Rockwell Extra Bold" w:cs="Arial"/>
                      <w:b/>
                      <w:color w:val="FF0000"/>
                      <w:sz w:val="48"/>
                      <w:szCs w:val="48"/>
                    </w:rPr>
                  </w:pPr>
                  <w:r>
                    <w:rPr>
                      <w:rFonts w:ascii="Rockwell Extra Bold" w:hAnsi="Rockwell Extra Bold" w:cs="Arial"/>
                      <w:b/>
                      <w:color w:val="FF0000"/>
                      <w:sz w:val="48"/>
                      <w:szCs w:val="48"/>
                    </w:rPr>
                    <w:t>Developing Number Sense R-4:</w:t>
                  </w:r>
                </w:p>
                <w:p w14:paraId="6EAC1A91" w14:textId="77777777" w:rsidR="008D6F16" w:rsidRPr="00CF206D" w:rsidRDefault="008D6F16" w:rsidP="008D6F16">
                  <w:pPr>
                    <w:pBdr>
                      <w:top w:val="single" w:sz="4" w:space="1" w:color="auto"/>
                      <w:left w:val="single" w:sz="4" w:space="4" w:color="auto"/>
                      <w:bottom w:val="single" w:sz="4" w:space="1" w:color="auto"/>
                      <w:right w:val="single" w:sz="4" w:space="4" w:color="auto"/>
                    </w:pBdr>
                    <w:ind w:left="360"/>
                    <w:jc w:val="center"/>
                    <w:rPr>
                      <w:rFonts w:ascii="Rockwell Extra Bold" w:hAnsi="Rockwell Extra Bold" w:cs="Arial"/>
                      <w:b/>
                      <w:color w:val="FF0000"/>
                      <w:sz w:val="48"/>
                      <w:szCs w:val="48"/>
                    </w:rPr>
                  </w:pPr>
                  <w:r>
                    <w:rPr>
                      <w:rFonts w:ascii="Rockwell Extra Bold" w:hAnsi="Rockwell Extra Bold" w:cs="Arial"/>
                      <w:b/>
                      <w:color w:val="FF0000"/>
                      <w:sz w:val="48"/>
                      <w:szCs w:val="48"/>
                    </w:rPr>
                    <w:t>What are the rules for Base Ten?</w:t>
                  </w:r>
                </w:p>
                <w:p w14:paraId="5B841486" w14:textId="77777777" w:rsidR="008D6F16" w:rsidRDefault="008D6F16" w:rsidP="008D6F16"/>
              </w:txbxContent>
            </v:textbox>
          </v:shape>
        </w:pict>
      </w:r>
      <w:r w:rsidRPr="006D616C">
        <w:rPr>
          <w:rFonts w:ascii="Rockwell Extra Bold" w:hAnsi="Rockwell Extra Bold" w:cs="Arial"/>
          <w:b/>
          <w:noProof/>
          <w:color w:val="FF0000"/>
          <w:sz w:val="48"/>
          <w:szCs w:val="48"/>
          <w:lang w:eastAsia="en-AU"/>
        </w:rPr>
        <w:drawing>
          <wp:inline distT="0" distB="0" distL="0" distR="0" wp14:anchorId="047A209F" wp14:editId="063707B8">
            <wp:extent cx="21336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495425"/>
                    </a:xfrm>
                    <a:prstGeom prst="rect">
                      <a:avLst/>
                    </a:prstGeom>
                    <a:noFill/>
                    <a:ln>
                      <a:noFill/>
                    </a:ln>
                  </pic:spPr>
                </pic:pic>
              </a:graphicData>
            </a:graphic>
          </wp:inline>
        </w:drawing>
      </w:r>
      <w:r>
        <w:rPr>
          <w:rFonts w:ascii="Rockwell Extra Bold" w:hAnsi="Rockwell Extra Bold" w:cs="Arial"/>
          <w:b/>
          <w:color w:val="FF0000"/>
          <w:sz w:val="48"/>
          <w:szCs w:val="48"/>
        </w:rPr>
        <w:t xml:space="preserve">  </w:t>
      </w:r>
    </w:p>
    <w:p w14:paraId="18EFE608" w14:textId="77777777" w:rsidR="008D6F16" w:rsidRDefault="008D6F16" w:rsidP="008D6F16">
      <w:pPr>
        <w:jc w:val="center"/>
        <w:rPr>
          <w:rFonts w:ascii="Comic Sans MS" w:hAnsi="Comic Sans MS" w:cs="Arial"/>
          <w:b/>
          <w:color w:val="0070C0"/>
          <w:sz w:val="32"/>
          <w:szCs w:val="32"/>
        </w:rPr>
      </w:pPr>
      <w:r>
        <w:rPr>
          <w:rFonts w:ascii="Comic Sans MS" w:hAnsi="Comic Sans MS" w:cs="Arial"/>
          <w:b/>
          <w:color w:val="0070C0"/>
          <w:sz w:val="32"/>
          <w:szCs w:val="32"/>
        </w:rPr>
        <w:t>Do your learners have a strong foundation in how our numeration system works? Do they know the three patterns of our Base Ten system, the rules for reading and writing numerals and the rules for counting collections?</w:t>
      </w:r>
    </w:p>
    <w:p w14:paraId="46586E9D" w14:textId="77777777" w:rsidR="008D6F16" w:rsidRPr="00621DC5" w:rsidRDefault="008D6F16" w:rsidP="008D6F16">
      <w:pPr>
        <w:jc w:val="center"/>
        <w:rPr>
          <w:rFonts w:ascii="Comic Sans MS" w:hAnsi="Comic Sans MS" w:cs="Arial"/>
          <w:b/>
          <w:color w:val="0070C0"/>
          <w:sz w:val="32"/>
          <w:szCs w:val="32"/>
        </w:rPr>
      </w:pPr>
      <w:r>
        <w:rPr>
          <w:rFonts w:ascii="Comic Sans MS" w:hAnsi="Comic Sans MS" w:cs="Arial"/>
          <w:b/>
          <w:color w:val="0070C0"/>
          <w:sz w:val="32"/>
          <w:szCs w:val="32"/>
        </w:rPr>
        <w:t xml:space="preserve">Do you as the educator have a deep understanding of how these concepts work </w:t>
      </w:r>
      <w:proofErr w:type="gramStart"/>
      <w:r>
        <w:rPr>
          <w:rFonts w:ascii="Comic Sans MS" w:hAnsi="Comic Sans MS" w:cs="Arial"/>
          <w:b/>
          <w:color w:val="0070C0"/>
          <w:sz w:val="32"/>
          <w:szCs w:val="32"/>
        </w:rPr>
        <w:t>and also</w:t>
      </w:r>
      <w:proofErr w:type="gramEnd"/>
      <w:r>
        <w:rPr>
          <w:rFonts w:ascii="Comic Sans MS" w:hAnsi="Comic Sans MS" w:cs="Arial"/>
          <w:b/>
          <w:color w:val="0070C0"/>
          <w:sz w:val="32"/>
          <w:szCs w:val="32"/>
        </w:rPr>
        <w:t xml:space="preserve"> how to teach them in a way that leads to deep understanding for all?</w:t>
      </w:r>
    </w:p>
    <w:p w14:paraId="49984F3B" w14:textId="77777777" w:rsidR="008D6F16" w:rsidRDefault="008D6F16" w:rsidP="008D6F16">
      <w:pPr>
        <w:pBdr>
          <w:top w:val="single" w:sz="4" w:space="1" w:color="auto"/>
          <w:left w:val="single" w:sz="4" w:space="4" w:color="auto"/>
          <w:bottom w:val="single" w:sz="4" w:space="1" w:color="auto"/>
          <w:right w:val="single" w:sz="4" w:space="4" w:color="auto"/>
        </w:pBdr>
        <w:ind w:left="360"/>
        <w:jc w:val="center"/>
        <w:rPr>
          <w:rFonts w:ascii="Comic Sans MS" w:hAnsi="Comic Sans MS" w:cs="Arial"/>
          <w:b/>
          <w:i/>
          <w:sz w:val="22"/>
          <w:szCs w:val="22"/>
        </w:rPr>
      </w:pPr>
      <w:r w:rsidRPr="004D5210">
        <w:rPr>
          <w:rFonts w:ascii="Comic Sans MS" w:hAnsi="Comic Sans MS" w:cs="Arial"/>
          <w:b/>
          <w:i/>
          <w:sz w:val="22"/>
          <w:szCs w:val="22"/>
        </w:rPr>
        <w:t xml:space="preserve">This </w:t>
      </w:r>
      <w:r>
        <w:rPr>
          <w:rFonts w:ascii="Comic Sans MS" w:hAnsi="Comic Sans MS" w:cs="Arial"/>
          <w:b/>
          <w:i/>
          <w:sz w:val="22"/>
          <w:szCs w:val="22"/>
        </w:rPr>
        <w:t>session</w:t>
      </w:r>
      <w:r w:rsidRPr="004D5210">
        <w:rPr>
          <w:rFonts w:ascii="Comic Sans MS" w:hAnsi="Comic Sans MS" w:cs="Arial"/>
          <w:b/>
          <w:i/>
          <w:sz w:val="22"/>
          <w:szCs w:val="22"/>
        </w:rPr>
        <w:t xml:space="preserve"> </w:t>
      </w:r>
      <w:r>
        <w:rPr>
          <w:rFonts w:ascii="Comic Sans MS" w:hAnsi="Comic Sans MS" w:cs="Arial"/>
          <w:b/>
          <w:i/>
          <w:sz w:val="22"/>
          <w:szCs w:val="22"/>
        </w:rPr>
        <w:t>is designed to support educators to:</w:t>
      </w:r>
    </w:p>
    <w:p w14:paraId="73246E3C" w14:textId="77777777" w:rsidR="008D6F16" w:rsidRPr="00621DC5" w:rsidRDefault="008D6F16" w:rsidP="008D6F16">
      <w:pPr>
        <w:pStyle w:val="ListParagraph"/>
        <w:numPr>
          <w:ilvl w:val="0"/>
          <w:numId w:val="1"/>
        </w:numPr>
        <w:pBdr>
          <w:top w:val="single" w:sz="4" w:space="1" w:color="auto"/>
          <w:left w:val="single" w:sz="4" w:space="4" w:color="auto"/>
          <w:bottom w:val="single" w:sz="4" w:space="1" w:color="auto"/>
          <w:right w:val="single" w:sz="4" w:space="4" w:color="auto"/>
        </w:pBdr>
        <w:jc w:val="center"/>
        <w:rPr>
          <w:rFonts w:ascii="Comic Sans MS" w:hAnsi="Comic Sans MS" w:cs="Arial"/>
          <w:i/>
          <w:sz w:val="22"/>
          <w:szCs w:val="22"/>
        </w:rPr>
      </w:pPr>
      <w:r>
        <w:rPr>
          <w:rFonts w:ascii="Comic Sans MS" w:hAnsi="Comic Sans MS" w:cs="Arial"/>
          <w:sz w:val="22"/>
          <w:szCs w:val="22"/>
        </w:rPr>
        <w:t>Further develop their own understanding</w:t>
      </w:r>
      <w:r w:rsidRPr="00621DC5">
        <w:rPr>
          <w:rFonts w:ascii="Comic Sans MS" w:hAnsi="Comic Sans MS" w:cs="Arial"/>
          <w:sz w:val="22"/>
          <w:szCs w:val="22"/>
        </w:rPr>
        <w:t xml:space="preserve"> and confidence with </w:t>
      </w:r>
      <w:r>
        <w:rPr>
          <w:rFonts w:ascii="Comic Sans MS" w:hAnsi="Comic Sans MS" w:cs="Arial"/>
          <w:sz w:val="22"/>
          <w:szCs w:val="22"/>
        </w:rPr>
        <w:t>the foundational aspects of number sense (as described in the Australian Curriculum)</w:t>
      </w:r>
    </w:p>
    <w:p w14:paraId="57A5F1E6" w14:textId="77777777" w:rsidR="008D6F16" w:rsidRPr="004D5210" w:rsidRDefault="008D6F16" w:rsidP="008D6F16">
      <w:pPr>
        <w:numPr>
          <w:ilvl w:val="0"/>
          <w:numId w:val="1"/>
        </w:numPr>
        <w:pBdr>
          <w:top w:val="single" w:sz="4" w:space="1" w:color="auto"/>
          <w:left w:val="single" w:sz="4" w:space="4" w:color="auto"/>
          <w:bottom w:val="single" w:sz="4" w:space="1" w:color="auto"/>
          <w:right w:val="single" w:sz="4" w:space="4" w:color="auto"/>
        </w:pBdr>
        <w:jc w:val="center"/>
        <w:rPr>
          <w:rFonts w:ascii="Comic Sans MS" w:hAnsi="Comic Sans MS" w:cs="Arial"/>
          <w:i/>
          <w:sz w:val="22"/>
          <w:szCs w:val="22"/>
        </w:rPr>
      </w:pPr>
      <w:r>
        <w:rPr>
          <w:rFonts w:ascii="Comic Sans MS" w:hAnsi="Comic Sans MS" w:cs="Arial"/>
          <w:sz w:val="22"/>
          <w:szCs w:val="22"/>
        </w:rPr>
        <w:t>Look at the range of audit tools we can use (including the Big Ideas in Number) to work out where children are at with various aspects of the “rules for Base Ten” as described within the Number and Place Value Sub-Strand</w:t>
      </w:r>
    </w:p>
    <w:p w14:paraId="143DF95F" w14:textId="77777777" w:rsidR="008D6F16" w:rsidRPr="004D5210" w:rsidRDefault="008D6F16" w:rsidP="008D6F16">
      <w:pPr>
        <w:numPr>
          <w:ilvl w:val="0"/>
          <w:numId w:val="1"/>
        </w:numPr>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rPr>
      </w:pPr>
      <w:r w:rsidRPr="004D5210">
        <w:rPr>
          <w:rFonts w:ascii="Comic Sans MS" w:hAnsi="Comic Sans MS" w:cs="Arial"/>
          <w:sz w:val="22"/>
          <w:szCs w:val="22"/>
        </w:rPr>
        <w:t xml:space="preserve">Exploring a wide range of practical strategies and activities that can be </w:t>
      </w:r>
      <w:r>
        <w:rPr>
          <w:rFonts w:ascii="Comic Sans MS" w:hAnsi="Comic Sans MS" w:cs="Arial"/>
          <w:sz w:val="22"/>
          <w:szCs w:val="22"/>
        </w:rPr>
        <w:t>targeted to meet the specific needs of each learning point within the Base Ten system</w:t>
      </w:r>
    </w:p>
    <w:p w14:paraId="28946BCF" w14:textId="77777777" w:rsidR="008D6F16" w:rsidRPr="004D5210" w:rsidRDefault="008D6F16" w:rsidP="008D6F16">
      <w:pPr>
        <w:numPr>
          <w:ilvl w:val="0"/>
          <w:numId w:val="1"/>
        </w:numPr>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rPr>
      </w:pPr>
      <w:r w:rsidRPr="004D5210">
        <w:rPr>
          <w:rFonts w:ascii="Comic Sans MS" w:hAnsi="Comic Sans MS" w:cs="Arial"/>
          <w:sz w:val="22"/>
          <w:szCs w:val="22"/>
        </w:rPr>
        <w:t>Increasing their capacity to recognise significant progress indicators and then plan for future learning</w:t>
      </w:r>
    </w:p>
    <w:p w14:paraId="4F1E8ED1" w14:textId="77777777" w:rsidR="00805742" w:rsidRDefault="00805742"/>
    <w:sectPr w:rsidR="0080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F4F3F"/>
    <w:multiLevelType w:val="hybridMultilevel"/>
    <w:tmpl w:val="21BEBAB2"/>
    <w:lvl w:ilvl="0" w:tplc="557496F0">
      <w:numFmt w:val="bullet"/>
      <w:lvlText w:val="-"/>
      <w:lvlJc w:val="left"/>
      <w:pPr>
        <w:ind w:left="720" w:hanging="360"/>
      </w:pPr>
      <w:rPr>
        <w:rFonts w:ascii="Comic Sans MS" w:eastAsia="Times New Roman" w:hAnsi="Comic Sans MS"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D6F16"/>
    <w:rsid w:val="00805742"/>
    <w:rsid w:val="008D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B5E6E"/>
  <w15:chartTrackingRefBased/>
  <w15:docId w15:val="{D8049956-7E50-4068-8D4F-DF320AB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F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Prout</dc:creator>
  <cp:keywords/>
  <dc:description/>
  <cp:lastModifiedBy>Deb Prout</cp:lastModifiedBy>
  <cp:revision>1</cp:revision>
  <dcterms:created xsi:type="dcterms:W3CDTF">2020-05-18T03:16:00Z</dcterms:created>
  <dcterms:modified xsi:type="dcterms:W3CDTF">2020-05-18T03:17:00Z</dcterms:modified>
</cp:coreProperties>
</file>